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615F" w14:textId="77777777" w:rsidR="00EC1ED2" w:rsidRPr="00EC1ED2" w:rsidRDefault="00EC1ED2" w:rsidP="00EC1ED2">
      <w:pPr>
        <w:shd w:val="clear" w:color="auto" w:fill="FFFFFF"/>
        <w:spacing w:after="0" w:line="588" w:lineRule="atLeast"/>
        <w:jc w:val="center"/>
        <w:outlineLvl w:val="0"/>
        <w:rPr>
          <w:rFonts w:ascii="PT Sans Narrow" w:eastAsia="Times New Roman" w:hAnsi="PT Sans Narrow" w:cs="Times New Roman"/>
          <w:color w:val="666666"/>
          <w:kern w:val="36"/>
          <w:sz w:val="42"/>
          <w:szCs w:val="42"/>
          <w:lang w:eastAsia="en-NA"/>
          <w14:ligatures w14:val="none"/>
        </w:rPr>
      </w:pPr>
      <w:r w:rsidRPr="00EC1ED2">
        <w:rPr>
          <w:rFonts w:ascii="PT Sans Narrow" w:eastAsia="Times New Roman" w:hAnsi="PT Sans Narrow" w:cs="Times New Roman"/>
          <w:b/>
          <w:bCs/>
          <w:color w:val="666666"/>
          <w:kern w:val="36"/>
          <w:sz w:val="42"/>
          <w:szCs w:val="42"/>
          <w:lang w:eastAsia="en-NA"/>
          <w14:ligatures w14:val="none"/>
        </w:rPr>
        <w:t xml:space="preserve">Die 2016-getuienis van die NG Kerk in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36"/>
          <w:sz w:val="42"/>
          <w:szCs w:val="42"/>
          <w:lang w:eastAsia="en-NA"/>
          <w14:ligatures w14:val="none"/>
        </w:rPr>
        <w:t>Namibië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36"/>
          <w:sz w:val="42"/>
          <w:szCs w:val="42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36"/>
          <w:sz w:val="42"/>
          <w:szCs w:val="42"/>
          <w:lang w:eastAsia="en-NA"/>
          <w14:ligatures w14:val="none"/>
        </w:rPr>
        <w:t>oor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36"/>
          <w:sz w:val="42"/>
          <w:szCs w:val="42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36"/>
          <w:sz w:val="42"/>
          <w:szCs w:val="42"/>
          <w:lang w:eastAsia="en-NA"/>
          <w14:ligatures w14:val="none"/>
        </w:rPr>
        <w:t>selfdegeslag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36"/>
          <w:sz w:val="42"/>
          <w:szCs w:val="42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36"/>
          <w:sz w:val="42"/>
          <w:szCs w:val="42"/>
          <w:lang w:eastAsia="en-NA"/>
          <w14:ligatures w14:val="none"/>
        </w:rPr>
        <w:t>seksuele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36"/>
          <w:sz w:val="42"/>
          <w:szCs w:val="42"/>
          <w:lang w:eastAsia="en-NA"/>
          <w14:ligatures w14:val="none"/>
        </w:rPr>
        <w:t xml:space="preserve"> </w:t>
      </w:r>
      <w:proofErr w:type="spellStart"/>
      <w:proofErr w:type="gramStart"/>
      <w:r w:rsidRPr="00EC1ED2">
        <w:rPr>
          <w:rFonts w:ascii="PT Sans Narrow" w:eastAsia="Times New Roman" w:hAnsi="PT Sans Narrow" w:cs="Times New Roman"/>
          <w:b/>
          <w:bCs/>
          <w:color w:val="666666"/>
          <w:kern w:val="36"/>
          <w:sz w:val="42"/>
          <w:szCs w:val="42"/>
          <w:lang w:eastAsia="en-NA"/>
          <w14:ligatures w14:val="none"/>
        </w:rPr>
        <w:t>verhoudings</w:t>
      </w:r>
      <w:proofErr w:type="spellEnd"/>
      <w:proofErr w:type="gramEnd"/>
    </w:p>
    <w:p w14:paraId="7BEC725E" w14:textId="77777777" w:rsidR="00EC1ED2" w:rsidRPr="00EC1ED2" w:rsidRDefault="00EC1ED2" w:rsidP="00EC1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Die 17de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vergadering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Namibiese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sinode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NG Kerk (NGKN) neem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kennis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uiteenlopende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standpunte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rakende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beoordeling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verhoudings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standpunte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wat op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Bybel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gegrond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is.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Terwyl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integriteit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aanvaar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gelowiges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wat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saamleef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die 2015-besluit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Algemene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Sinode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is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getuienis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meerderheid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afgevaardigdes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dáárdie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besluit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rym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 met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verstaan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Skrif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38EC7FD4" w14:textId="77777777" w:rsidR="00EC1ED2" w:rsidRPr="00EC1ED2" w:rsidRDefault="00EC1ED2" w:rsidP="00EC1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Ons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wil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graag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teologiese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gesprek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verhoudings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laat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voortgaan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versoek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moderamen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saam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ander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Christelike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geloofsgemeenskappe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’n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gesprek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inisieer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deelnemers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sal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oefen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geloofwaardige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lees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helder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uitleg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Skrif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opsigte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gesagvolle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leiding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betrekking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tot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etiese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vraagstukke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63F0AF45" w14:textId="77777777" w:rsidR="00EC1ED2" w:rsidRPr="00EC1ED2" w:rsidRDefault="00EC1ED2" w:rsidP="00EC1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Ons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getuig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etiese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volle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spektrum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strek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moedig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navolgers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Christus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konsekwent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wees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profetiese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vermaning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etiese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vergrype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samelewing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sinode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egter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hartseer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oënskynlike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gebrek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entoesiasme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onder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gelowiges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etiese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uitdagings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anders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as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sake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pak.</w:t>
      </w:r>
      <w:proofErr w:type="spellEnd"/>
    </w:p>
    <w:p w14:paraId="2380E04E" w14:textId="77777777" w:rsidR="00EC1ED2" w:rsidRPr="00EC1ED2" w:rsidRDefault="00EC1ED2" w:rsidP="00EC1E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Ons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getuig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Bybel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nou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só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verstaan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verhoudings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:</w:t>
      </w:r>
    </w:p>
    <w:p w14:paraId="2229DBF1" w14:textId="77777777" w:rsidR="00EC1ED2" w:rsidRPr="00EC1ED2" w:rsidRDefault="00EC1ED2" w:rsidP="00EC1ED2">
      <w:pPr>
        <w:shd w:val="clear" w:color="auto" w:fill="FFFFFF"/>
        <w:spacing w:after="0" w:line="546" w:lineRule="atLeast"/>
        <w:outlineLvl w:val="1"/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</w:pPr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 xml:space="preserve">Ons </w:t>
      </w:r>
      <w:proofErr w:type="spellStart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>vertrekpunt</w:t>
      </w:r>
      <w:proofErr w:type="spellEnd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 xml:space="preserve"> is die </w:t>
      </w:r>
      <w:proofErr w:type="spellStart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>Bybel</w:t>
      </w:r>
      <w:proofErr w:type="spellEnd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 xml:space="preserve"> en die </w:t>
      </w:r>
      <w:proofErr w:type="spellStart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>liefde</w:t>
      </w:r>
      <w:proofErr w:type="spellEnd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 xml:space="preserve"> van </w:t>
      </w:r>
      <w:proofErr w:type="gramStart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>Christus</w:t>
      </w:r>
      <w:proofErr w:type="gramEnd"/>
    </w:p>
    <w:p w14:paraId="3AE76A98" w14:textId="77777777" w:rsidR="00EC1ED2" w:rsidRPr="00EC1ED2" w:rsidRDefault="00EC1ED2" w:rsidP="00EC1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Bybel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uitgangspunt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nadenke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verhoudings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soek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eerlik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na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maniere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Bybelse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waardes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betekenisvol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binne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konteks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interpreteer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5AF10BFB" w14:textId="77777777" w:rsidR="00EC1ED2" w:rsidRPr="00EC1ED2" w:rsidRDefault="00EC1ED2" w:rsidP="00EC1E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Ons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aanvaar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liefde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Christus as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enigste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geldige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grondhouding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waarop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verhoudinge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binne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geloofsgemeenskap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gebaseer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word. Alle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geskep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na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beeld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God,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verlossing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Christus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vir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alle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die Gees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uitgestort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op alle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gelowiges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Daarom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aanvaar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menswaardigheid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alle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Ons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aanvaar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goeie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trou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‘n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oriëntasie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tot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verhoudings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se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belydenis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egte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saligmakende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geloof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God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Drie-enig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as ‘n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geloof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wat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alleen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berus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op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genadige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soenverdienste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Jesus Christus,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Here.</w:t>
      </w:r>
    </w:p>
    <w:p w14:paraId="6C656FF3" w14:textId="77777777" w:rsidR="00EC1ED2" w:rsidRPr="00EC1ED2" w:rsidRDefault="00EC1ED2" w:rsidP="00EC1ED2">
      <w:pPr>
        <w:shd w:val="clear" w:color="auto" w:fill="FFFFFF"/>
        <w:spacing w:after="0" w:line="546" w:lineRule="atLeast"/>
        <w:outlineLvl w:val="1"/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</w:pPr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Die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onverklaarbare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werklikheid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oriëntasie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tot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selfdegeslag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seksuele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verhoudings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vra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pastorale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sensitiwiteit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en </w:t>
      </w:r>
      <w:proofErr w:type="gram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begrip</w:t>
      </w:r>
      <w:proofErr w:type="gramEnd"/>
    </w:p>
    <w:p w14:paraId="0A84C055" w14:textId="77777777" w:rsidR="00EC1ED2" w:rsidRPr="00EC1ED2" w:rsidRDefault="00EC1ED2" w:rsidP="00EC1E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Ons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anders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as om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bestaande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werklikheid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‘n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oriëntasie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erken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Net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soos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wat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baie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ander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werklikhede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skepping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 wat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verklaar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lastRenderedPageBreak/>
        <w:t>spyte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baie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navorsing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studie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afdoende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verklaar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hoekom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sommige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se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oriëntasie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so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Ons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getuig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Bybel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geen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taal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praat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onverstaanbare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werklikheid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hierdie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soort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oriëntasie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by ‘n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klein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persentasie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In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Bybel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word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slegs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deurlopend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gepraat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neiging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tot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praktyk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verhoudings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tussen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merendeels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mans. Ons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besef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aanvaar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sodanige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natuurlike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oriëntasie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bloot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afwykende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immorele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of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sondige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keuses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maak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op so ‘n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manier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wees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21D32485" w14:textId="77777777" w:rsidR="00EC1ED2" w:rsidRPr="00EC1ED2" w:rsidRDefault="00EC1ED2" w:rsidP="00EC1E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Deur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erkenning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werklikheid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‘n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menslik-</w:t>
      </w:r>
      <w:proofErr w:type="gram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onverklaarbare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 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oriëntasie</w:t>
      </w:r>
      <w:proofErr w:type="spellEnd"/>
      <w:proofErr w:type="gram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tot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verhoudings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by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sommige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 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aanvaar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verantwoordelikheid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hierdie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‘n pastorale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gesindheid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sensitiwiteit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begrip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aanvaar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respekvol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behandel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as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medemense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aangesig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lewende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God wat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as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geskep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het. Mag die Gees van Christus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sy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gemeente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daarvan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bewaar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in ‘n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gesindheid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onverdraagsaamheid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geestelike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hoogmoed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veroordelend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homofobies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verkleinerend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enige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dink of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teenoor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hom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/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op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tree.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lidmate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NGKN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só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teenoor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’n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oriëntasie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opgetree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het, het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skromelik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roeping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tot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genadige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liefdesdiens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die Naam van Christus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gefaal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3C2CB92A" w14:textId="77777777" w:rsidR="00EC1ED2" w:rsidRPr="00EC1ED2" w:rsidRDefault="00EC1ED2" w:rsidP="00EC1ED2">
      <w:pPr>
        <w:shd w:val="clear" w:color="auto" w:fill="FFFFFF"/>
        <w:spacing w:after="0" w:line="546" w:lineRule="atLeast"/>
        <w:outlineLvl w:val="1"/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</w:pPr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Die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Bybel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wys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dade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selfdegeslag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seksuele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verhoudings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proofErr w:type="gram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af</w:t>
      </w:r>
      <w:proofErr w:type="spellEnd"/>
      <w:proofErr w:type="gramEnd"/>
    </w:p>
    <w:p w14:paraId="1AC8589A" w14:textId="77777777" w:rsidR="00EC1ED2" w:rsidRPr="00EC1ED2" w:rsidRDefault="00EC1ED2" w:rsidP="00EC1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Ons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besef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Bybel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eksplisiete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proofErr w:type="gram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vermelding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  is</w:t>
      </w:r>
      <w:proofErr w:type="gram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‘n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verskeidenheid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optredes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wat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afwyk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God se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oorspronklike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bedoeling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seksualiteit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Praktyke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soos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buite-egtelike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geslagsverkeer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bloedskande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verkragting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egbreuk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/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huweliksontrou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prostitusie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egskeidings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word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onomwonde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Bybel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vermeld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Vreemd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genoeg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word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hierdie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optredes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elkeen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op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presies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dieselfde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wyse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Bybel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beoordeel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en/of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afgewys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Die twee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optredes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wat in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Bybel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op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skerpste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wyse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veroordeel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word,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prostitusie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verhoudingsgedrag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12FBC558" w14:textId="77777777" w:rsidR="00EC1ED2" w:rsidRPr="00EC1ED2" w:rsidRDefault="00EC1ED2" w:rsidP="00EC1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Dat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sondige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natuur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se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verval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uiteraard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aard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na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vore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kom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maak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goddelike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gegewe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seksualiteit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as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sodanig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sondig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gram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wat</w:t>
      </w:r>
      <w:proofErr w:type="gram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Bybel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egter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aard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gevolge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sonde leer,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toepassing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op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praktyke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wat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teenstelling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tot God se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bedoeling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seksualiteit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gepleeg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word. Sonde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vernietig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se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lewenspotensiaal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lei tot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ewige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geestelike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dood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Om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gawe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seksualiteit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uit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leef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op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ander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maniere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as wat God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daarvoor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gewil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het, is,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soos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ondoelmatige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uitlewing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enige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ander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gawe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wat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Skepper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toevertrou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het, sonde in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oë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Here.</w:t>
      </w:r>
    </w:p>
    <w:p w14:paraId="5FCE79B0" w14:textId="77777777" w:rsidR="00EC1ED2" w:rsidRPr="00EC1ED2" w:rsidRDefault="00EC1ED2" w:rsidP="00EC1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opvallend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Bybel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nêrens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eksplisiet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berig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omtrent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spesifieke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geslagsgemeenskap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binne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verhoudings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word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slegs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op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indirekte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wyse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hierna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verwys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of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neiging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daartoe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gepraat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dan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ernstige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veroordelende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taal.</w:t>
      </w:r>
    </w:p>
    <w:p w14:paraId="0F1F4209" w14:textId="77777777" w:rsidR="00EC1ED2" w:rsidRPr="00EC1ED2" w:rsidRDefault="00EC1ED2" w:rsidP="00EC1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Op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grond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deeglike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eksegetiese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ondersoek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op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geen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manier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tans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vir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interpretasie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Bybel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moontlik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lastRenderedPageBreak/>
        <w:t>aanvaar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regverdig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strook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volgens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Bybel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God se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oorspronklike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bedoeling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vir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seksualiteit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3D3518BB" w14:textId="77777777" w:rsidR="00EC1ED2" w:rsidRPr="00EC1ED2" w:rsidRDefault="00EC1ED2" w:rsidP="00EC1E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Ons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erken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diskresie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kerkrade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verskille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verhoudings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gemeentes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die gees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Christelike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liefde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hanteer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39028005" w14:textId="77777777" w:rsidR="00EC1ED2" w:rsidRPr="00EC1ED2" w:rsidRDefault="00EC1ED2" w:rsidP="00EC1ED2">
      <w:pPr>
        <w:shd w:val="clear" w:color="auto" w:fill="FFFFFF"/>
        <w:spacing w:after="0" w:line="546" w:lineRule="atLeast"/>
        <w:outlineLvl w:val="1"/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</w:pPr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Ons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getuig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dat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Bybel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’n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selibate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lewe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vra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mense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met ’n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selfdegeslag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seksuele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proofErr w:type="gram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oriëntasie</w:t>
      </w:r>
      <w:proofErr w:type="spellEnd"/>
      <w:proofErr w:type="gramEnd"/>
    </w:p>
    <w:p w14:paraId="2FF62199" w14:textId="77777777" w:rsidR="00EC1ED2" w:rsidRPr="00EC1ED2" w:rsidRDefault="00EC1ED2" w:rsidP="00EC1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Ons glo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Bybel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duidelik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goddelike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gegewe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seksualiteit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Ons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verstaan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seksualiteit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primêr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deur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God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bedoel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 om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 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laat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voortplant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binne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ruimte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gesinne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gegrond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op ‘n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onverbreekbare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egverbintenis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trouverbond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tussen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‘n man en ‘n vrou wat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mekaar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liefhet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ruimte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waarbinne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vreugde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vind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beoefening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sy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/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seksualiteit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omdat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daarmee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ten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spyte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gebrokenheid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skepping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met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hulp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Gees van Christus tog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daarna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streef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voldoen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 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wil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God self.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kerk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immers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deur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eeue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heen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getuig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goddelik-bedoelde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uitlewing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se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seksualiteit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‘n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verhouding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trou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een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hoedanigheid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 wat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hom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/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op die mees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lewens-vervullende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wyse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verhouding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tot ‘n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medemens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bring.</w:t>
      </w:r>
    </w:p>
    <w:p w14:paraId="1073C5FF" w14:textId="77777777" w:rsidR="00EC1ED2" w:rsidRPr="00EC1ED2" w:rsidRDefault="00EC1ED2" w:rsidP="00EC1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Wanneer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dus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’n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oriëntasie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tot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verhoudings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‘n pastorale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gesindheid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aanvaarding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as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lidmate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aanvaar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anders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as om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versoek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verantwoordelikheid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selibate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aanvaar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weerhou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praktyke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geslagsgemeenskap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verhoudings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Ons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kies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reg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terwille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selfhandhawing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maar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omdat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anders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as om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sover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binne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begrip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vermoë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getrou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bly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verstaan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God se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oorspronklike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bedoeling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seksualiteit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soos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Bybel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daaroor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praat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447F9231" w14:textId="77777777" w:rsidR="00EC1ED2" w:rsidRPr="00EC1ED2" w:rsidRDefault="00EC1ED2" w:rsidP="00EC1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Hierdie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oproep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tot ’n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selibate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bedoel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’n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oriëntasie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na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kom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veroordeel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of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verontreg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 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Eerder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word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gebore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uit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‘n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eerlike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opregte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poging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swakheid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niks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anders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wil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wees of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na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streef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as om Christus,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Here,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ken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Hom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gehoorsaam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wees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uit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dankbaarheid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vir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sy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onverdiende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onbegryplike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genade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6D18315F" w14:textId="77777777" w:rsidR="00EC1ED2" w:rsidRPr="00EC1ED2" w:rsidRDefault="00EC1ED2" w:rsidP="00EC1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Ons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dankbaar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vir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alle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lidmate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’n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oriëntasie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wat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selibaat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verseker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voorbidding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liefde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542B05F7" w14:textId="77777777" w:rsidR="00EC1ED2" w:rsidRPr="00EC1ED2" w:rsidRDefault="00EC1ED2" w:rsidP="00EC1E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Ons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vra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ernstig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kerkrade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versoek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tot ’n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selibate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sensitiewe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deernis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nodige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berading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oriëntasie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sal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rig.</w:t>
      </w:r>
    </w:p>
    <w:p w14:paraId="1190C9B2" w14:textId="77777777" w:rsidR="00EC1ED2" w:rsidRPr="00EC1ED2" w:rsidRDefault="00EC1ED2" w:rsidP="00EC1ED2">
      <w:pPr>
        <w:shd w:val="clear" w:color="auto" w:fill="FFFFFF"/>
        <w:spacing w:after="0" w:line="546" w:lineRule="atLeast"/>
        <w:outlineLvl w:val="1"/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</w:pPr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 xml:space="preserve">Om </w:t>
      </w:r>
      <w:proofErr w:type="spellStart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>selibaat</w:t>
      </w:r>
      <w:proofErr w:type="spellEnd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>te</w:t>
      </w:r>
      <w:proofErr w:type="spellEnd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>leef</w:t>
      </w:r>
      <w:proofErr w:type="spellEnd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 xml:space="preserve"> – </w:t>
      </w:r>
      <w:proofErr w:type="spellStart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>Bondige</w:t>
      </w:r>
      <w:proofErr w:type="spellEnd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>getuienis</w:t>
      </w:r>
      <w:proofErr w:type="spellEnd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 xml:space="preserve"> van die Ned </w:t>
      </w:r>
      <w:proofErr w:type="spellStart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>Geref</w:t>
      </w:r>
      <w:proofErr w:type="spellEnd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 xml:space="preserve">. Kerk in </w:t>
      </w:r>
      <w:proofErr w:type="spellStart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>Namibië</w:t>
      </w:r>
      <w:proofErr w:type="spellEnd"/>
      <w:r w:rsidRPr="00EC1ED2"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  <w:t xml:space="preserve"> 2022</w:t>
      </w:r>
      <w:r w:rsidRPr="00EC1ED2">
        <w:rPr>
          <w:rFonts w:ascii="PT Sans Narrow" w:eastAsia="Times New Roman" w:hAnsi="PT Sans Narrow" w:cs="Times New Roman"/>
          <w:i/>
          <w:iCs/>
          <w:color w:val="666666"/>
          <w:kern w:val="0"/>
          <w:sz w:val="39"/>
          <w:szCs w:val="39"/>
          <w:lang w:eastAsia="en-NA"/>
          <w14:ligatures w14:val="none"/>
        </w:rPr>
        <w:t>.</w:t>
      </w:r>
    </w:p>
    <w:p w14:paraId="7A9679E4" w14:textId="77777777" w:rsidR="00EC1ED2" w:rsidRPr="00EC1ED2" w:rsidRDefault="00EC1ED2" w:rsidP="00EC1E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lastRenderedPageBreak/>
        <w:t xml:space="preserve">Die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kerk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glo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Skrif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ŉ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bepaalde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lewe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ten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opsigte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kameraadskap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intimiteit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aan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persone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opdring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, maar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duidelik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prakties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is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wanneer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Paulus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skryf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: </w:t>
      </w: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“Ek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wil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hê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julle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julle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onnodig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allerhande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dinge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moet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sit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kwel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As ’n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byvoorbeeld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ongetroud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is, het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jy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baie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tyd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Here se dinge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staan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Jy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jou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aandag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daarop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toespits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vir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Here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werk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… Ek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wil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sommer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uit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snaaksigheid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hê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julle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moet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trou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maar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wil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julle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regtig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eerder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help” (1 Kor. 7:32 + 35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Boodskap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).</w:t>
      </w:r>
    </w:p>
    <w:p w14:paraId="79CF23EC" w14:textId="77777777" w:rsidR="00EC1ED2" w:rsidRPr="00EC1ED2" w:rsidRDefault="00EC1ED2" w:rsidP="00EC1E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kerk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het </w:t>
      </w:r>
      <w:r w:rsidRPr="00EC1ED2">
        <w:rPr>
          <w:rFonts w:ascii="Calibri" w:eastAsia="Times New Roman" w:hAnsi="Calibri" w:cs="Calibri"/>
          <w:color w:val="888888"/>
          <w:kern w:val="0"/>
          <w:sz w:val="23"/>
          <w:szCs w:val="23"/>
          <w:lang w:eastAsia="en-NA"/>
          <w14:ligatures w14:val="none"/>
        </w:rPr>
        <w:t>ŉ</w:t>
      </w: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lang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geskiedenis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betekenisvolle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inspirerende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bydraes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uitleef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evangelie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deur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persone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wat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</w:t>
      </w:r>
      <w:r w:rsidRPr="00EC1ED2">
        <w:rPr>
          <w:rFonts w:ascii="Calibri" w:eastAsia="Times New Roman" w:hAnsi="Calibri" w:cs="Calibri"/>
          <w:color w:val="888888"/>
          <w:kern w:val="0"/>
          <w:sz w:val="23"/>
          <w:szCs w:val="23"/>
          <w:lang w:eastAsia="en-NA"/>
          <w14:ligatures w14:val="none"/>
        </w:rPr>
        <w:t>ŉ</w:t>
      </w: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huweliksverhouding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bevind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met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toewyding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selibaat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geleef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het.</w:t>
      </w:r>
    </w:p>
    <w:p w14:paraId="1AA21DEE" w14:textId="77777777" w:rsidR="00EC1ED2" w:rsidRPr="00EC1ED2" w:rsidRDefault="00EC1ED2" w:rsidP="00EC1E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Persone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wat 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</w:t>
      </w:r>
      <w:r w:rsidRPr="00EC1ED2">
        <w:rPr>
          <w:rFonts w:ascii="Calibri" w:eastAsia="Times New Roman" w:hAnsi="Calibri" w:cs="Calibri"/>
          <w:color w:val="888888"/>
          <w:kern w:val="0"/>
          <w:sz w:val="23"/>
          <w:szCs w:val="23"/>
          <w:lang w:eastAsia="en-NA"/>
          <w14:ligatures w14:val="none"/>
        </w:rPr>
        <w:t>ŉ</w:t>
      </w: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huweliksverhouding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bevind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met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toewyding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selibaat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geleef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het, was van die begin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r w:rsidRPr="00EC1ED2">
        <w:rPr>
          <w:rFonts w:ascii="Calibri" w:eastAsia="Times New Roman" w:hAnsi="Calibri" w:cs="Calibri"/>
          <w:color w:val="888888"/>
          <w:kern w:val="0"/>
          <w:sz w:val="23"/>
          <w:szCs w:val="23"/>
          <w:lang w:eastAsia="en-NA"/>
          <w14:ligatures w14:val="none"/>
        </w:rPr>
        <w:t>ŉ</w:t>
      </w: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eerbare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werklikheid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kerk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5862FD6A" w14:textId="77777777" w:rsidR="00EC1ED2" w:rsidRPr="00EC1ED2" w:rsidRDefault="00EC1ED2" w:rsidP="00EC1E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Die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keuse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om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selibaat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leef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, was in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sekere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stadiums van die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kerk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se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geskiedenis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–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meer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as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ander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–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beskou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as ŉ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besondere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uitdrukking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geloof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wat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getuig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daarvan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biologiese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familiebande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– maar die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geloofsgemeenskap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kerk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enigste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toekomstige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ewige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waarborg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lewe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bied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68A0B00F" w14:textId="77777777" w:rsidR="00EC1ED2" w:rsidRPr="00EC1ED2" w:rsidRDefault="00EC1ED2" w:rsidP="00EC1E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Naas die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apostel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Paulus, is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ook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Jesus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vir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iemand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wat in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sy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aardse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lewe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hom</w:t>
      </w:r>
      <w:proofErr w:type="spellEnd"/>
      <w:r w:rsidRPr="00EC1ED2">
        <w:rPr>
          <w:rFonts w:ascii="PT Sans" w:eastAsia="Times New Roman" w:hAnsi="PT Sans" w:cs="Times New Roman"/>
          <w:i/>
          <w:iCs/>
          <w:color w:val="888888"/>
          <w:kern w:val="0"/>
          <w:sz w:val="23"/>
          <w:szCs w:val="23"/>
          <w:lang w:eastAsia="en-NA"/>
          <w14:ligatures w14:val="none"/>
        </w:rPr>
        <w:t> 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</w:t>
      </w:r>
      <w:r w:rsidRPr="00EC1ED2">
        <w:rPr>
          <w:rFonts w:ascii="Calibri" w:eastAsia="Times New Roman" w:hAnsi="Calibri" w:cs="Calibri"/>
          <w:color w:val="888888"/>
          <w:kern w:val="0"/>
          <w:sz w:val="23"/>
          <w:szCs w:val="23"/>
          <w:lang w:eastAsia="en-NA"/>
          <w14:ligatures w14:val="none"/>
        </w:rPr>
        <w:t>ŉ</w:t>
      </w: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huweliksverhouding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bevind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met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toewyding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selibaat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geleef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het,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Hom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navolg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r w:rsidRPr="00EC1ED2">
        <w:rPr>
          <w:rFonts w:ascii="PT Sans" w:eastAsia="Times New Roman" w:hAnsi="PT Sans" w:cs="PT Sans"/>
          <w:color w:val="888888"/>
          <w:kern w:val="0"/>
          <w:sz w:val="23"/>
          <w:szCs w:val="23"/>
          <w:lang w:eastAsia="en-NA"/>
          <w14:ligatures w14:val="none"/>
        </w:rPr>
        <w:t>“</w:t>
      </w: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gevestig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op Jesus, die Begin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Voleinder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geloof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Ter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wille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vreugde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wat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vir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Hom in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vooruitsig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was, het Hy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kruis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verduur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sonder om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vir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skande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daarvan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terug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deins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en Hy sit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nou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regterkant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troon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God” (Hebr. 12:1-2 Afr. 83).</w:t>
      </w:r>
    </w:p>
    <w:p w14:paraId="778F2682" w14:textId="77777777" w:rsidR="00EC1ED2" w:rsidRPr="00EC1ED2" w:rsidRDefault="00EC1ED2" w:rsidP="00EC1E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Terwyl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kerk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evangeliese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leefwyse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selibaatskap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beklemtoon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wil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kerk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ontken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hierdie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wyse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sonder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uitdaging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spanning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49C53B1E" w14:textId="77777777" w:rsidR="00EC1ED2" w:rsidRPr="00EC1ED2" w:rsidRDefault="00EC1ED2" w:rsidP="00EC1E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Met </w:t>
      </w:r>
      <w:r w:rsidRPr="00EC1ED2">
        <w:rPr>
          <w:rFonts w:ascii="Calibri" w:eastAsia="Times New Roman" w:hAnsi="Calibri" w:cs="Calibri"/>
          <w:color w:val="888888"/>
          <w:kern w:val="0"/>
          <w:sz w:val="23"/>
          <w:szCs w:val="23"/>
          <w:lang w:eastAsia="en-NA"/>
          <w14:ligatures w14:val="none"/>
        </w:rPr>
        <w:t>ŉ</w:t>
      </w: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toewyding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selibaatskap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getuig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kerk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alhoewel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intimiteit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huwelik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goed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besonders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is,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toewyding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r w:rsidRPr="00EC1ED2">
        <w:rPr>
          <w:rFonts w:ascii="Calibri" w:eastAsia="Times New Roman" w:hAnsi="Calibri" w:cs="Calibri"/>
          <w:color w:val="888888"/>
          <w:kern w:val="0"/>
          <w:sz w:val="23"/>
          <w:szCs w:val="23"/>
          <w:lang w:eastAsia="en-NA"/>
          <w14:ligatures w14:val="none"/>
        </w:rPr>
        <w:t>ŉ</w:t>
      </w: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geloof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navolging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Christus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alles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oortref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waarde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daarom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vir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sommige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moeite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werd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 om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intimiteit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prys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gee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vir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aardse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2E79CB56" w14:textId="77777777" w:rsidR="00EC1ED2" w:rsidRPr="00EC1ED2" w:rsidRDefault="00EC1ED2" w:rsidP="00EC1E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kerk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moedig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persone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wat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enkellopend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is –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veral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ook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persone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wat mag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aangetrokke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voel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tot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ander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dieselfde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–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eerbare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keuse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maak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</w:t>
      </w:r>
      <w:r w:rsidRPr="00EC1ED2">
        <w:rPr>
          <w:rFonts w:ascii="Calibri" w:eastAsia="Times New Roman" w:hAnsi="Calibri" w:cs="Calibri"/>
          <w:color w:val="888888"/>
          <w:kern w:val="0"/>
          <w:sz w:val="23"/>
          <w:szCs w:val="23"/>
          <w:lang w:eastAsia="en-NA"/>
          <w14:ligatures w14:val="none"/>
        </w:rPr>
        <w:t>ŉ</w:t>
      </w: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geloofwaardige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voorbeeld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inspirasie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wees wat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betref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r w:rsidRPr="00EC1ED2">
        <w:rPr>
          <w:rFonts w:ascii="Calibri" w:eastAsia="Times New Roman" w:hAnsi="Calibri" w:cs="Calibri"/>
          <w:color w:val="888888"/>
          <w:kern w:val="0"/>
          <w:sz w:val="23"/>
          <w:szCs w:val="23"/>
          <w:lang w:eastAsia="en-NA"/>
          <w14:ligatures w14:val="none"/>
        </w:rPr>
        <w:t>ŉ</w:t>
      </w: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selibaatskap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117A6921" w14:textId="77777777" w:rsidR="00EC1ED2" w:rsidRPr="00EC1ED2" w:rsidRDefault="00EC1ED2" w:rsidP="00EC1E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kerk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doen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r w:rsidRPr="00EC1ED2">
        <w:rPr>
          <w:rFonts w:ascii="Calibri" w:eastAsia="Times New Roman" w:hAnsi="Calibri" w:cs="Calibri"/>
          <w:color w:val="888888"/>
          <w:kern w:val="0"/>
          <w:sz w:val="23"/>
          <w:szCs w:val="23"/>
          <w:lang w:eastAsia="en-NA"/>
          <w14:ligatures w14:val="none"/>
        </w:rPr>
        <w:t>ŉ</w:t>
      </w: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beroep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op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gemeentes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ander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geloofsgemeenskappe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Christelike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gawe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selibaatskap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omhels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vier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fasiliteer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onderskeie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gemeenskappe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201FC406" w14:textId="77777777" w:rsidR="00EC1ED2" w:rsidRPr="00EC1ED2" w:rsidRDefault="00EC1ED2" w:rsidP="00EC1ED2">
      <w:pPr>
        <w:shd w:val="clear" w:color="auto" w:fill="FFFFFF"/>
        <w:spacing w:after="0" w:line="546" w:lineRule="atLeast"/>
        <w:outlineLvl w:val="1"/>
        <w:rPr>
          <w:rFonts w:ascii="PT Sans Narrow" w:eastAsia="Times New Roman" w:hAnsi="PT Sans Narrow" w:cs="Times New Roman"/>
          <w:color w:val="666666"/>
          <w:kern w:val="0"/>
          <w:sz w:val="39"/>
          <w:szCs w:val="39"/>
          <w:lang w:eastAsia="en-NA"/>
          <w14:ligatures w14:val="none"/>
        </w:rPr>
      </w:pP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Seksuele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oriëntasie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verhinder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nie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lidmaatskap</w:t>
      </w:r>
      <w:proofErr w:type="spellEnd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 Narrow" w:eastAsia="Times New Roman" w:hAnsi="PT Sans Narrow" w:cs="Times New Roman"/>
          <w:b/>
          <w:bCs/>
          <w:color w:val="666666"/>
          <w:kern w:val="0"/>
          <w:sz w:val="39"/>
          <w:szCs w:val="39"/>
          <w:lang w:eastAsia="en-NA"/>
          <w14:ligatures w14:val="none"/>
        </w:rPr>
        <w:t>nie</w:t>
      </w:r>
      <w:proofErr w:type="spellEnd"/>
    </w:p>
    <w:p w14:paraId="7DAFD405" w14:textId="77777777" w:rsidR="00EC1ED2" w:rsidRPr="00EC1ED2" w:rsidRDefault="00EC1ED2" w:rsidP="00EC1E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</w:pPr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Alle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mense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ongeag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oriëntasie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is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ingesluit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in God se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liefde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word op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grond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hulle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doop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geloof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as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lidmate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kerk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van Christus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aanvaar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.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Onder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lidmaatskap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verstaan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ons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toegang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tot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sakramente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toegang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tot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ampte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en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onderworpenheid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aan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kerklike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tug. Ons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onderneem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om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teologie-studente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met ‘n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selfdegeslag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seksuele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oriëntasie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wat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selibaat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lewe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, tot die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predikantsamp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toe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te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 xml:space="preserve"> </w:t>
      </w:r>
      <w:proofErr w:type="spellStart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laat</w:t>
      </w:r>
      <w:proofErr w:type="spellEnd"/>
      <w:r w:rsidRPr="00EC1ED2">
        <w:rPr>
          <w:rFonts w:ascii="PT Sans" w:eastAsia="Times New Roman" w:hAnsi="PT Sans" w:cs="Times New Roman"/>
          <w:color w:val="888888"/>
          <w:kern w:val="0"/>
          <w:sz w:val="23"/>
          <w:szCs w:val="23"/>
          <w:lang w:eastAsia="en-NA"/>
          <w14:ligatures w14:val="none"/>
        </w:rPr>
        <w:t>.</w:t>
      </w:r>
    </w:p>
    <w:p w14:paraId="7A360027" w14:textId="77777777" w:rsidR="00EC1ED2" w:rsidRDefault="00EC1ED2"/>
    <w:sectPr w:rsidR="00EC1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8FF"/>
    <w:multiLevelType w:val="multilevel"/>
    <w:tmpl w:val="AADE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1473B"/>
    <w:multiLevelType w:val="multilevel"/>
    <w:tmpl w:val="CADE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C3A73"/>
    <w:multiLevelType w:val="multilevel"/>
    <w:tmpl w:val="FE9A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76516"/>
    <w:multiLevelType w:val="multilevel"/>
    <w:tmpl w:val="78E2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23714"/>
    <w:multiLevelType w:val="multilevel"/>
    <w:tmpl w:val="8C9E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65B9F"/>
    <w:multiLevelType w:val="multilevel"/>
    <w:tmpl w:val="5DA2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AE4D93"/>
    <w:multiLevelType w:val="multilevel"/>
    <w:tmpl w:val="A0B0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6909802">
    <w:abstractNumId w:val="4"/>
  </w:num>
  <w:num w:numId="2" w16cid:durableId="488137542">
    <w:abstractNumId w:val="5"/>
  </w:num>
  <w:num w:numId="3" w16cid:durableId="1368679906">
    <w:abstractNumId w:val="3"/>
  </w:num>
  <w:num w:numId="4" w16cid:durableId="1517041781">
    <w:abstractNumId w:val="6"/>
  </w:num>
  <w:num w:numId="5" w16cid:durableId="508762654">
    <w:abstractNumId w:val="2"/>
  </w:num>
  <w:num w:numId="6" w16cid:durableId="562640270">
    <w:abstractNumId w:val="1"/>
  </w:num>
  <w:num w:numId="7" w16cid:durableId="150512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D2"/>
    <w:rsid w:val="00E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BD35"/>
  <w15:chartTrackingRefBased/>
  <w15:docId w15:val="{4C71978E-55FB-4D81-9744-ACC99C8D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1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A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EC1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N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ED2"/>
    <w:rPr>
      <w:rFonts w:ascii="Times New Roman" w:eastAsia="Times New Roman" w:hAnsi="Times New Roman" w:cs="Times New Roman"/>
      <w:b/>
      <w:bCs/>
      <w:kern w:val="36"/>
      <w:sz w:val="48"/>
      <w:szCs w:val="48"/>
      <w:lang w:eastAsia="en-N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C1ED2"/>
    <w:rPr>
      <w:rFonts w:ascii="Times New Roman" w:eastAsia="Times New Roman" w:hAnsi="Times New Roman" w:cs="Times New Roman"/>
      <w:b/>
      <w:bCs/>
      <w:kern w:val="0"/>
      <w:sz w:val="36"/>
      <w:szCs w:val="36"/>
      <w:lang w:eastAsia="en-NA"/>
      <w14:ligatures w14:val="none"/>
    </w:rPr>
  </w:style>
  <w:style w:type="character" w:styleId="Strong">
    <w:name w:val="Strong"/>
    <w:basedOn w:val="DefaultParagraphFont"/>
    <w:uiPriority w:val="22"/>
    <w:qFormat/>
    <w:rsid w:val="00EC1ED2"/>
    <w:rPr>
      <w:b/>
      <w:bCs/>
    </w:rPr>
  </w:style>
  <w:style w:type="character" w:styleId="Emphasis">
    <w:name w:val="Emphasis"/>
    <w:basedOn w:val="DefaultParagraphFont"/>
    <w:uiPriority w:val="20"/>
    <w:qFormat/>
    <w:rsid w:val="00EC1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1671</Words>
  <Characters>9528</Characters>
  <Application>Microsoft Office Word</Application>
  <DocSecurity>0</DocSecurity>
  <Lines>79</Lines>
  <Paragraphs>22</Paragraphs>
  <ScaleCrop>false</ScaleCrop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Maritz</dc:creator>
  <cp:keywords/>
  <dc:description/>
  <cp:lastModifiedBy>Johannes Maritz</cp:lastModifiedBy>
  <cp:revision>1</cp:revision>
  <dcterms:created xsi:type="dcterms:W3CDTF">2023-05-17T10:18:00Z</dcterms:created>
  <dcterms:modified xsi:type="dcterms:W3CDTF">2023-05-17T10:19:00Z</dcterms:modified>
</cp:coreProperties>
</file>